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D8" w:rsidRPr="00B251B8" w:rsidRDefault="00EA61D8" w:rsidP="00DA54AC">
      <w:pPr>
        <w:jc w:val="center"/>
        <w:rPr>
          <w:b/>
        </w:rPr>
      </w:pPr>
      <w:r w:rsidRPr="00B251B8">
        <w:rPr>
          <w:b/>
        </w:rPr>
        <w:t>NATIONAL TRUST CLOSELY HELD BUSINESS ASSOCIATION</w:t>
      </w:r>
    </w:p>
    <w:p w:rsidR="00EA61D8" w:rsidRPr="00B251B8" w:rsidRDefault="007F2322" w:rsidP="007D2FA5">
      <w:pPr>
        <w:jc w:val="center"/>
        <w:rPr>
          <w:b/>
        </w:rPr>
      </w:pPr>
      <w:r>
        <w:rPr>
          <w:b/>
        </w:rPr>
        <w:t>40</w:t>
      </w:r>
      <w:r w:rsidRPr="007F2322">
        <w:rPr>
          <w:b/>
          <w:vertAlign w:val="superscript"/>
        </w:rPr>
        <w:t>th</w:t>
      </w:r>
      <w:r>
        <w:rPr>
          <w:b/>
        </w:rPr>
        <w:t xml:space="preserve"> </w:t>
      </w:r>
      <w:r w:rsidR="00EA61D8" w:rsidRPr="00B251B8">
        <w:rPr>
          <w:b/>
        </w:rPr>
        <w:t>ANNUAL CONFERENCE</w:t>
      </w:r>
    </w:p>
    <w:p w:rsidR="005636D7" w:rsidRDefault="005636D7" w:rsidP="00DA54AC">
      <w:pPr>
        <w:jc w:val="center"/>
        <w:rPr>
          <w:sz w:val="20"/>
          <w:szCs w:val="20"/>
        </w:rPr>
      </w:pPr>
    </w:p>
    <w:p w:rsidR="00EA61D8" w:rsidRPr="00C81691" w:rsidRDefault="00EA61D8" w:rsidP="00DA54AC">
      <w:pPr>
        <w:jc w:val="center"/>
        <w:rPr>
          <w:sz w:val="20"/>
          <w:szCs w:val="20"/>
        </w:rPr>
      </w:pPr>
      <w:r w:rsidRPr="00C81691">
        <w:rPr>
          <w:sz w:val="20"/>
          <w:szCs w:val="20"/>
        </w:rPr>
        <w:t xml:space="preserve">September </w:t>
      </w:r>
      <w:r w:rsidR="009D7F4F">
        <w:rPr>
          <w:sz w:val="20"/>
          <w:szCs w:val="20"/>
        </w:rPr>
        <w:t>14-17</w:t>
      </w:r>
      <w:r w:rsidRPr="00C81691">
        <w:rPr>
          <w:sz w:val="20"/>
          <w:szCs w:val="20"/>
        </w:rPr>
        <w:t>, 201</w:t>
      </w:r>
      <w:r w:rsidR="009D7F4F">
        <w:rPr>
          <w:sz w:val="20"/>
          <w:szCs w:val="20"/>
        </w:rPr>
        <w:t>5</w:t>
      </w:r>
    </w:p>
    <w:p w:rsidR="00E92A39" w:rsidRPr="00C81691" w:rsidRDefault="00C81691" w:rsidP="00DA54AC">
      <w:pPr>
        <w:jc w:val="center"/>
        <w:rPr>
          <w:sz w:val="20"/>
          <w:szCs w:val="20"/>
        </w:rPr>
      </w:pPr>
      <w:r w:rsidRPr="00C81691">
        <w:rPr>
          <w:sz w:val="20"/>
          <w:szCs w:val="20"/>
        </w:rPr>
        <w:t xml:space="preserve">The </w:t>
      </w:r>
      <w:r w:rsidR="009D7F4F">
        <w:rPr>
          <w:sz w:val="20"/>
          <w:szCs w:val="20"/>
        </w:rPr>
        <w:t xml:space="preserve">Omni Royal Orleans </w:t>
      </w:r>
      <w:r w:rsidR="005E2141">
        <w:rPr>
          <w:sz w:val="20"/>
          <w:szCs w:val="20"/>
        </w:rPr>
        <w:t>~</w:t>
      </w:r>
      <w:r w:rsidRPr="00C81691">
        <w:rPr>
          <w:sz w:val="20"/>
          <w:szCs w:val="20"/>
        </w:rPr>
        <w:t xml:space="preserve"> </w:t>
      </w:r>
      <w:r w:rsidR="009D7F4F">
        <w:rPr>
          <w:sz w:val="20"/>
          <w:szCs w:val="20"/>
        </w:rPr>
        <w:t>New Orleans, Louisiana</w:t>
      </w:r>
    </w:p>
    <w:p w:rsidR="00EA61D8" w:rsidRPr="00C81691" w:rsidRDefault="00EA61D8" w:rsidP="00C81691">
      <w:pPr>
        <w:rPr>
          <w:sz w:val="20"/>
          <w:szCs w:val="20"/>
        </w:rPr>
      </w:pPr>
    </w:p>
    <w:p w:rsidR="00EA61D8" w:rsidRPr="00C81691" w:rsidRDefault="00DA7A9E">
      <w:pPr>
        <w:rPr>
          <w:sz w:val="20"/>
          <w:szCs w:val="20"/>
        </w:rPr>
      </w:pPr>
      <w:r>
        <w:rPr>
          <w:sz w:val="20"/>
          <w:szCs w:val="20"/>
        </w:rPr>
        <w:t xml:space="preserve">JPMorgan </w:t>
      </w:r>
      <w:r w:rsidR="00EA61D8" w:rsidRPr="00C81691">
        <w:rPr>
          <w:sz w:val="20"/>
          <w:szCs w:val="20"/>
        </w:rPr>
        <w:t xml:space="preserve">is proud to </w:t>
      </w:r>
      <w:r w:rsidR="00E239F7" w:rsidRPr="00C81691">
        <w:rPr>
          <w:sz w:val="20"/>
          <w:szCs w:val="20"/>
        </w:rPr>
        <w:t>host</w:t>
      </w:r>
      <w:r w:rsidR="00EA61D8" w:rsidRPr="00C81691">
        <w:rPr>
          <w:sz w:val="20"/>
          <w:szCs w:val="20"/>
        </w:rPr>
        <w:t xml:space="preserve"> the </w:t>
      </w:r>
      <w:r>
        <w:rPr>
          <w:sz w:val="20"/>
          <w:szCs w:val="20"/>
        </w:rPr>
        <w:t>40</w:t>
      </w:r>
      <w:r w:rsidRPr="00DA7A9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of the </w:t>
      </w:r>
      <w:r w:rsidR="00EA61D8" w:rsidRPr="00C81691">
        <w:rPr>
          <w:sz w:val="20"/>
          <w:szCs w:val="20"/>
        </w:rPr>
        <w:t xml:space="preserve">National Trust Closely Held Business Association </w:t>
      </w:r>
      <w:r w:rsidR="00C81691" w:rsidRPr="00C81691">
        <w:rPr>
          <w:sz w:val="20"/>
          <w:szCs w:val="20"/>
        </w:rPr>
        <w:t>c</w:t>
      </w:r>
      <w:r w:rsidR="00EA61D8" w:rsidRPr="00C81691">
        <w:rPr>
          <w:sz w:val="20"/>
          <w:szCs w:val="20"/>
        </w:rPr>
        <w:t xml:space="preserve">onference.  The conference </w:t>
      </w:r>
      <w:r w:rsidR="00B251B8">
        <w:rPr>
          <w:sz w:val="20"/>
          <w:szCs w:val="20"/>
        </w:rPr>
        <w:t>will run from</w:t>
      </w:r>
      <w:r w:rsidR="00EA61D8" w:rsidRPr="00C81691">
        <w:rPr>
          <w:sz w:val="20"/>
          <w:szCs w:val="20"/>
        </w:rPr>
        <w:t xml:space="preserve"> the afternoon of Monday</w:t>
      </w:r>
      <w:r w:rsidR="005636D7">
        <w:rPr>
          <w:sz w:val="20"/>
          <w:szCs w:val="20"/>
        </w:rPr>
        <w:t>, September</w:t>
      </w:r>
      <w:r w:rsidR="00EA61D8" w:rsidRPr="00C81691">
        <w:rPr>
          <w:sz w:val="20"/>
          <w:szCs w:val="20"/>
        </w:rPr>
        <w:t xml:space="preserve"> </w:t>
      </w:r>
      <w:r w:rsidR="007F2322">
        <w:rPr>
          <w:sz w:val="20"/>
          <w:szCs w:val="20"/>
        </w:rPr>
        <w:t xml:space="preserve">14 </w:t>
      </w:r>
      <w:r w:rsidR="00B251B8">
        <w:rPr>
          <w:sz w:val="20"/>
          <w:szCs w:val="20"/>
        </w:rPr>
        <w:t>through</w:t>
      </w:r>
      <w:r w:rsidR="007F2322">
        <w:rPr>
          <w:sz w:val="20"/>
          <w:szCs w:val="20"/>
        </w:rPr>
        <w:t xml:space="preserve"> the morning of Thursday, September 17</w:t>
      </w:r>
      <w:r w:rsidR="00B251B8">
        <w:rPr>
          <w:sz w:val="20"/>
          <w:szCs w:val="20"/>
        </w:rPr>
        <w:t xml:space="preserve">.  This year’s program </w:t>
      </w:r>
      <w:r w:rsidR="00912CEA">
        <w:rPr>
          <w:sz w:val="20"/>
          <w:szCs w:val="20"/>
        </w:rPr>
        <w:t>continue</w:t>
      </w:r>
      <w:r w:rsidR="00B251B8">
        <w:rPr>
          <w:sz w:val="20"/>
          <w:szCs w:val="20"/>
        </w:rPr>
        <w:t>s the</w:t>
      </w:r>
      <w:r w:rsidR="00912CEA">
        <w:rPr>
          <w:sz w:val="20"/>
          <w:szCs w:val="20"/>
        </w:rPr>
        <w:t xml:space="preserve"> </w:t>
      </w:r>
      <w:r w:rsidR="00B251B8">
        <w:rPr>
          <w:sz w:val="20"/>
          <w:szCs w:val="20"/>
        </w:rPr>
        <w:t>NTCHBA</w:t>
      </w:r>
      <w:r w:rsidR="00912CEA">
        <w:rPr>
          <w:sz w:val="20"/>
          <w:szCs w:val="20"/>
        </w:rPr>
        <w:t xml:space="preserve"> tradition of insightful </w:t>
      </w:r>
      <w:r w:rsidR="00C81691" w:rsidRPr="00C81691">
        <w:rPr>
          <w:sz w:val="20"/>
          <w:szCs w:val="20"/>
        </w:rPr>
        <w:t xml:space="preserve">presentations on topics essential to closely held asset management, opportunities to </w:t>
      </w:r>
      <w:r w:rsidR="005636D7">
        <w:rPr>
          <w:sz w:val="20"/>
          <w:szCs w:val="20"/>
        </w:rPr>
        <w:t>interact with</w:t>
      </w:r>
      <w:r w:rsidR="00C81691" w:rsidRPr="00C81691">
        <w:rPr>
          <w:sz w:val="20"/>
          <w:szCs w:val="20"/>
        </w:rPr>
        <w:t xml:space="preserve"> some of the brightest people in our industry</w:t>
      </w:r>
      <w:r w:rsidR="00976982">
        <w:rPr>
          <w:sz w:val="20"/>
          <w:szCs w:val="20"/>
        </w:rPr>
        <w:t>,</w:t>
      </w:r>
      <w:r w:rsidR="00C81691" w:rsidRPr="00C81691">
        <w:rPr>
          <w:sz w:val="20"/>
          <w:szCs w:val="20"/>
        </w:rPr>
        <w:t xml:space="preserve"> and a chance to network with colleagues from across the country</w:t>
      </w:r>
      <w:r w:rsidR="00EA61D8" w:rsidRPr="00C81691">
        <w:rPr>
          <w:sz w:val="20"/>
          <w:szCs w:val="20"/>
        </w:rPr>
        <w:t>.</w:t>
      </w:r>
      <w:r w:rsidR="00B251B8">
        <w:rPr>
          <w:sz w:val="20"/>
          <w:szCs w:val="20"/>
        </w:rPr>
        <w:t xml:space="preserve">  Please join us at this year’s gathering.</w:t>
      </w:r>
    </w:p>
    <w:p w:rsidR="00EA61D8" w:rsidRPr="00C81691" w:rsidRDefault="00EA61D8">
      <w:pPr>
        <w:rPr>
          <w:sz w:val="20"/>
          <w:szCs w:val="20"/>
        </w:rPr>
      </w:pPr>
    </w:p>
    <w:p w:rsidR="00EA61D8" w:rsidRPr="005636D7" w:rsidRDefault="00EA61D8">
      <w:pPr>
        <w:rPr>
          <w:b/>
          <w:sz w:val="20"/>
          <w:szCs w:val="20"/>
        </w:rPr>
      </w:pPr>
      <w:r w:rsidRPr="005636D7">
        <w:rPr>
          <w:b/>
          <w:sz w:val="20"/>
          <w:szCs w:val="20"/>
        </w:rPr>
        <w:t>Program</w:t>
      </w:r>
    </w:p>
    <w:p w:rsidR="00EA61D8" w:rsidRPr="00C81691" w:rsidRDefault="00B251B8" w:rsidP="00E239F7">
      <w:pPr>
        <w:spacing w:after="120"/>
        <w:rPr>
          <w:sz w:val="20"/>
          <w:szCs w:val="20"/>
        </w:rPr>
      </w:pPr>
      <w:r>
        <w:rPr>
          <w:sz w:val="20"/>
          <w:szCs w:val="20"/>
        </w:rPr>
        <w:t>The</w:t>
      </w:r>
      <w:r w:rsidR="00EA61D8" w:rsidRPr="00C81691">
        <w:rPr>
          <w:sz w:val="20"/>
          <w:szCs w:val="20"/>
        </w:rPr>
        <w:t xml:space="preserve"> conference will feature many of the topics we deal with </w:t>
      </w:r>
      <w:r>
        <w:rPr>
          <w:sz w:val="20"/>
          <w:szCs w:val="20"/>
        </w:rPr>
        <w:t xml:space="preserve">regularly </w:t>
      </w:r>
      <w:r w:rsidR="00EA61D8" w:rsidRPr="00C81691">
        <w:rPr>
          <w:sz w:val="20"/>
          <w:szCs w:val="20"/>
        </w:rPr>
        <w:t xml:space="preserve">in the </w:t>
      </w:r>
      <w:r w:rsidR="005636D7">
        <w:rPr>
          <w:sz w:val="20"/>
          <w:szCs w:val="20"/>
        </w:rPr>
        <w:t>business</w:t>
      </w:r>
      <w:r w:rsidR="00EA61D8" w:rsidRPr="00C81691">
        <w:rPr>
          <w:sz w:val="20"/>
          <w:szCs w:val="20"/>
        </w:rPr>
        <w:t xml:space="preserve"> of closely held </w:t>
      </w:r>
      <w:r w:rsidR="005636D7">
        <w:rPr>
          <w:sz w:val="20"/>
          <w:szCs w:val="20"/>
        </w:rPr>
        <w:t>asset management</w:t>
      </w:r>
      <w:r w:rsidR="00EA61D8" w:rsidRPr="00C81691">
        <w:rPr>
          <w:sz w:val="20"/>
          <w:szCs w:val="20"/>
        </w:rPr>
        <w:t xml:space="preserve">. </w:t>
      </w:r>
      <w:r w:rsidR="00C70FE3" w:rsidRPr="00C70FE3">
        <w:rPr>
          <w:sz w:val="20"/>
          <w:szCs w:val="20"/>
        </w:rPr>
        <w:t>Presentation topics will include</w:t>
      </w:r>
      <w:r w:rsidR="00976982">
        <w:rPr>
          <w:sz w:val="20"/>
          <w:szCs w:val="20"/>
        </w:rPr>
        <w:t>, among others</w:t>
      </w:r>
      <w:r w:rsidR="00C70FE3" w:rsidRPr="00C70FE3"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8"/>
        <w:gridCol w:w="5238"/>
      </w:tblGrid>
      <w:tr w:rsidR="00C70FE3" w:rsidTr="00554CC5">
        <w:trPr>
          <w:trHeight w:val="242"/>
        </w:trPr>
        <w:tc>
          <w:tcPr>
            <w:tcW w:w="505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76">
              <w:rPr>
                <w:sz w:val="20"/>
                <w:szCs w:val="20"/>
              </w:rPr>
              <w:t>Managing fiduciary risk</w:t>
            </w:r>
          </w:p>
        </w:tc>
        <w:tc>
          <w:tcPr>
            <w:tcW w:w="523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76">
              <w:rPr>
                <w:sz w:val="20"/>
                <w:szCs w:val="20"/>
              </w:rPr>
              <w:t>Business valuation roundtable</w:t>
            </w:r>
          </w:p>
        </w:tc>
      </w:tr>
      <w:tr w:rsidR="00C70FE3" w:rsidTr="00554CC5">
        <w:tc>
          <w:tcPr>
            <w:tcW w:w="505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76">
              <w:rPr>
                <w:sz w:val="20"/>
                <w:szCs w:val="20"/>
              </w:rPr>
              <w:t>Best practices in corporate governance</w:t>
            </w:r>
          </w:p>
        </w:tc>
        <w:tc>
          <w:tcPr>
            <w:tcW w:w="523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06676">
              <w:rPr>
                <w:sz w:val="20"/>
                <w:szCs w:val="20"/>
              </w:rPr>
              <w:t>ergers and acquisitions roundtable</w:t>
            </w:r>
          </w:p>
        </w:tc>
      </w:tr>
      <w:tr w:rsidR="00C70FE3" w:rsidTr="00554CC5">
        <w:tc>
          <w:tcPr>
            <w:tcW w:w="505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U.S. economic outlook</w:t>
            </w:r>
          </w:p>
        </w:tc>
        <w:tc>
          <w:tcPr>
            <w:tcW w:w="523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06676">
              <w:rPr>
                <w:sz w:val="20"/>
                <w:szCs w:val="20"/>
              </w:rPr>
              <w:t>ineral interest valuation and industry outlook</w:t>
            </w:r>
          </w:p>
        </w:tc>
      </w:tr>
      <w:tr w:rsidR="00C70FE3" w:rsidTr="00554CC5">
        <w:tc>
          <w:tcPr>
            <w:tcW w:w="505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76">
              <w:rPr>
                <w:sz w:val="20"/>
                <w:szCs w:val="20"/>
              </w:rPr>
              <w:t>Real estate industry outlook</w:t>
            </w:r>
          </w:p>
        </w:tc>
        <w:tc>
          <w:tcPr>
            <w:tcW w:w="523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106676">
              <w:rPr>
                <w:sz w:val="20"/>
                <w:szCs w:val="20"/>
              </w:rPr>
              <w:t>inancial institution valuation and industry update</w:t>
            </w:r>
          </w:p>
        </w:tc>
      </w:tr>
      <w:tr w:rsidR="00C70FE3" w:rsidTr="00554CC5">
        <w:tc>
          <w:tcPr>
            <w:tcW w:w="505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76">
              <w:rPr>
                <w:sz w:val="20"/>
                <w:szCs w:val="20"/>
              </w:rPr>
              <w:t>Management of music &amp; book royalty interests</w:t>
            </w:r>
          </w:p>
        </w:tc>
        <w:tc>
          <w:tcPr>
            <w:tcW w:w="5238" w:type="dxa"/>
          </w:tcPr>
          <w:p w:rsidR="00C70FE3" w:rsidRDefault="00554CC5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106676">
              <w:rPr>
                <w:sz w:val="20"/>
                <w:szCs w:val="20"/>
              </w:rPr>
              <w:t>avigating the IRS audit process &amp; potential pitfalls</w:t>
            </w:r>
          </w:p>
        </w:tc>
      </w:tr>
      <w:tr w:rsidR="00C70FE3" w:rsidTr="00554CC5">
        <w:tc>
          <w:tcPr>
            <w:tcW w:w="5058" w:type="dxa"/>
          </w:tcPr>
          <w:p w:rsidR="00C70FE3" w:rsidRDefault="00C70FE3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676">
              <w:rPr>
                <w:sz w:val="20"/>
                <w:szCs w:val="20"/>
              </w:rPr>
              <w:t xml:space="preserve">Creating </w:t>
            </w:r>
            <w:r w:rsidR="00554CC5">
              <w:rPr>
                <w:sz w:val="20"/>
                <w:szCs w:val="20"/>
              </w:rPr>
              <w:t xml:space="preserve">a </w:t>
            </w:r>
            <w:r w:rsidRPr="00106676">
              <w:rPr>
                <w:sz w:val="20"/>
                <w:szCs w:val="20"/>
              </w:rPr>
              <w:t>secondary market for closely held assets</w:t>
            </w:r>
          </w:p>
        </w:tc>
        <w:tc>
          <w:tcPr>
            <w:tcW w:w="5238" w:type="dxa"/>
          </w:tcPr>
          <w:p w:rsidR="00C70FE3" w:rsidRDefault="00554CC5" w:rsidP="00C70F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Court case update</w:t>
            </w:r>
          </w:p>
        </w:tc>
      </w:tr>
    </w:tbl>
    <w:p w:rsidR="00EA61D8" w:rsidRPr="00C81691" w:rsidRDefault="00EA61D8" w:rsidP="00551B46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</w:p>
    <w:p w:rsidR="00EA61D8" w:rsidRPr="005636D7" w:rsidRDefault="00EA61D8" w:rsidP="00551B46">
      <w:pPr>
        <w:autoSpaceDE w:val="0"/>
        <w:autoSpaceDN w:val="0"/>
        <w:adjustRightInd w:val="0"/>
        <w:ind w:left="15"/>
        <w:rPr>
          <w:b/>
          <w:color w:val="000000"/>
          <w:sz w:val="20"/>
          <w:szCs w:val="20"/>
        </w:rPr>
      </w:pPr>
      <w:r w:rsidRPr="005636D7">
        <w:rPr>
          <w:b/>
          <w:color w:val="000000"/>
          <w:sz w:val="20"/>
          <w:szCs w:val="20"/>
        </w:rPr>
        <w:t>Conference Facility &amp; Transportation</w:t>
      </w:r>
    </w:p>
    <w:p w:rsidR="005F29B9" w:rsidRDefault="005636D7" w:rsidP="00BE56E0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r w:rsidR="00D7485D">
        <w:rPr>
          <w:color w:val="000000"/>
          <w:sz w:val="20"/>
          <w:szCs w:val="20"/>
        </w:rPr>
        <w:t>Om</w:t>
      </w:r>
      <w:r w:rsidR="009C525F">
        <w:rPr>
          <w:color w:val="000000"/>
          <w:sz w:val="20"/>
          <w:szCs w:val="20"/>
        </w:rPr>
        <w:t xml:space="preserve">ni Royal Orleans is a four-star, four-diamond </w:t>
      </w:r>
      <w:r w:rsidR="00D7485D">
        <w:rPr>
          <w:color w:val="000000"/>
          <w:sz w:val="20"/>
          <w:szCs w:val="20"/>
        </w:rPr>
        <w:t xml:space="preserve">hotel </w:t>
      </w:r>
      <w:r w:rsidR="00EA61D8" w:rsidRPr="00C81691">
        <w:rPr>
          <w:color w:val="000000"/>
          <w:sz w:val="20"/>
          <w:szCs w:val="20"/>
        </w:rPr>
        <w:t xml:space="preserve">located in </w:t>
      </w:r>
      <w:r w:rsidR="00D7485D">
        <w:rPr>
          <w:color w:val="000000"/>
          <w:sz w:val="20"/>
          <w:szCs w:val="20"/>
        </w:rPr>
        <w:t xml:space="preserve">the heart of </w:t>
      </w:r>
      <w:r w:rsidR="008C6A28">
        <w:rPr>
          <w:color w:val="000000"/>
          <w:sz w:val="20"/>
          <w:szCs w:val="20"/>
        </w:rPr>
        <w:t xml:space="preserve">the </w:t>
      </w:r>
      <w:r w:rsidR="00D7485D">
        <w:rPr>
          <w:color w:val="000000"/>
          <w:sz w:val="20"/>
          <w:szCs w:val="20"/>
        </w:rPr>
        <w:t xml:space="preserve">French Quarter.  </w:t>
      </w:r>
      <w:r w:rsidR="008C6A28">
        <w:rPr>
          <w:color w:val="000000"/>
          <w:sz w:val="20"/>
          <w:szCs w:val="20"/>
        </w:rPr>
        <w:t>The hotel is only a few blocks away from many of New Orleans’ top attractions and restaurants, including Bourbon Street, Preservation Hall, Café du Monde, Emeril’s, Commander’s Palace, Jackson Square, St. Lo</w:t>
      </w:r>
      <w:r w:rsidR="00041595">
        <w:rPr>
          <w:color w:val="000000"/>
          <w:sz w:val="20"/>
          <w:szCs w:val="20"/>
        </w:rPr>
        <w:t xml:space="preserve">uis Cathedral, Steamboat Wharf </w:t>
      </w:r>
      <w:r w:rsidR="008C6A28">
        <w:rPr>
          <w:color w:val="000000"/>
          <w:sz w:val="20"/>
          <w:szCs w:val="20"/>
        </w:rPr>
        <w:t>and the French Market.</w:t>
      </w:r>
      <w:r w:rsidR="00BE56E0">
        <w:rPr>
          <w:color w:val="000000"/>
          <w:sz w:val="20"/>
          <w:szCs w:val="20"/>
        </w:rPr>
        <w:t xml:space="preserve">  </w:t>
      </w:r>
    </w:p>
    <w:p w:rsidR="005F29B9" w:rsidRDefault="005F29B9" w:rsidP="00BE56E0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</w:p>
    <w:p w:rsidR="00CD275D" w:rsidRDefault="00CD275D" w:rsidP="00BE56E0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Additional information can be found on the hotel’s website: </w:t>
      </w:r>
      <w:hyperlink r:id="rId6" w:history="1">
        <w:r w:rsidRPr="00BD07EC">
          <w:rPr>
            <w:rStyle w:val="Hyperlink"/>
            <w:sz w:val="20"/>
            <w:szCs w:val="20"/>
          </w:rPr>
          <w:t>http://www.omnihotels.com/hotels/new-orleans-royal-orleans</w:t>
        </w:r>
      </w:hyperlink>
      <w:r>
        <w:rPr>
          <w:color w:val="000000"/>
          <w:sz w:val="20"/>
          <w:szCs w:val="20"/>
        </w:rPr>
        <w:t>.</w:t>
      </w:r>
    </w:p>
    <w:p w:rsidR="00CD275D" w:rsidRDefault="00CD275D" w:rsidP="005D0801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</w:p>
    <w:p w:rsidR="00EA61D8" w:rsidRDefault="00D7485D" w:rsidP="005D0801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r w:rsidR="005F29B9">
        <w:rPr>
          <w:color w:val="000000"/>
          <w:sz w:val="20"/>
          <w:szCs w:val="20"/>
        </w:rPr>
        <w:t xml:space="preserve">Omni Royal Orleans </w:t>
      </w:r>
      <w:r>
        <w:rPr>
          <w:color w:val="000000"/>
          <w:sz w:val="20"/>
          <w:szCs w:val="20"/>
        </w:rPr>
        <w:t xml:space="preserve">is </w:t>
      </w:r>
      <w:r w:rsidR="005636D7">
        <w:rPr>
          <w:color w:val="000000"/>
          <w:sz w:val="20"/>
          <w:szCs w:val="20"/>
        </w:rPr>
        <w:t xml:space="preserve">approximately </w:t>
      </w:r>
      <w:r w:rsidR="005D0801">
        <w:rPr>
          <w:color w:val="000000"/>
          <w:sz w:val="20"/>
          <w:szCs w:val="20"/>
        </w:rPr>
        <w:t xml:space="preserve">a </w:t>
      </w:r>
      <w:r w:rsidR="000C273E">
        <w:rPr>
          <w:color w:val="000000"/>
          <w:sz w:val="20"/>
          <w:szCs w:val="20"/>
        </w:rPr>
        <w:t>20</w:t>
      </w:r>
      <w:r w:rsidR="005D0801">
        <w:rPr>
          <w:color w:val="000000"/>
          <w:sz w:val="20"/>
          <w:szCs w:val="20"/>
        </w:rPr>
        <w:t xml:space="preserve">-minute drive from Louis Armstrong New Orleans </w:t>
      </w:r>
      <w:r w:rsidR="00EA61D8" w:rsidRPr="00C81691">
        <w:rPr>
          <w:color w:val="000000"/>
          <w:sz w:val="20"/>
          <w:szCs w:val="20"/>
        </w:rPr>
        <w:t>International Airport</w:t>
      </w:r>
      <w:r w:rsidR="00B400FE">
        <w:rPr>
          <w:color w:val="000000"/>
          <w:sz w:val="20"/>
          <w:szCs w:val="20"/>
        </w:rPr>
        <w:t xml:space="preserve">.  </w:t>
      </w:r>
      <w:r w:rsidR="00EA61D8" w:rsidRPr="00C81691">
        <w:rPr>
          <w:color w:val="000000"/>
          <w:sz w:val="20"/>
          <w:szCs w:val="20"/>
        </w:rPr>
        <w:t>You will need to make you</w:t>
      </w:r>
      <w:r w:rsidR="00912CEA">
        <w:rPr>
          <w:color w:val="000000"/>
          <w:sz w:val="20"/>
          <w:szCs w:val="20"/>
        </w:rPr>
        <w:t>r own travel arrangements</w:t>
      </w:r>
      <w:r w:rsidR="0056457A">
        <w:rPr>
          <w:color w:val="000000"/>
          <w:sz w:val="20"/>
          <w:szCs w:val="20"/>
        </w:rPr>
        <w:t xml:space="preserve"> for the conference</w:t>
      </w:r>
      <w:r w:rsidR="00912CEA">
        <w:rPr>
          <w:color w:val="000000"/>
          <w:sz w:val="20"/>
          <w:szCs w:val="20"/>
        </w:rPr>
        <w:t xml:space="preserve">.  </w:t>
      </w:r>
      <w:r w:rsidR="0081683B">
        <w:rPr>
          <w:color w:val="000000"/>
          <w:sz w:val="20"/>
          <w:szCs w:val="20"/>
        </w:rPr>
        <w:t>G</w:t>
      </w:r>
      <w:r w:rsidR="00912CEA">
        <w:rPr>
          <w:color w:val="000000"/>
          <w:sz w:val="20"/>
          <w:szCs w:val="20"/>
        </w:rPr>
        <w:t>round t</w:t>
      </w:r>
      <w:r w:rsidR="000C273E">
        <w:rPr>
          <w:color w:val="000000"/>
          <w:sz w:val="20"/>
          <w:szCs w:val="20"/>
        </w:rPr>
        <w:t>ransportation</w:t>
      </w:r>
      <w:r w:rsidR="0081683B">
        <w:rPr>
          <w:color w:val="000000"/>
          <w:sz w:val="20"/>
          <w:szCs w:val="20"/>
        </w:rPr>
        <w:t xml:space="preserve"> options from </w:t>
      </w:r>
      <w:r w:rsidR="00621B85">
        <w:rPr>
          <w:color w:val="000000"/>
          <w:sz w:val="20"/>
          <w:szCs w:val="20"/>
        </w:rPr>
        <w:t xml:space="preserve">the airport </w:t>
      </w:r>
      <w:r w:rsidR="00912CEA">
        <w:rPr>
          <w:color w:val="000000"/>
          <w:sz w:val="20"/>
          <w:szCs w:val="20"/>
        </w:rPr>
        <w:t>to the hotel</w:t>
      </w:r>
      <w:r w:rsidR="000C273E">
        <w:rPr>
          <w:color w:val="000000"/>
          <w:sz w:val="20"/>
          <w:szCs w:val="20"/>
        </w:rPr>
        <w:t xml:space="preserve"> </w:t>
      </w:r>
      <w:r w:rsidR="00F15973">
        <w:rPr>
          <w:color w:val="000000"/>
          <w:sz w:val="20"/>
          <w:szCs w:val="20"/>
        </w:rPr>
        <w:t xml:space="preserve">include </w:t>
      </w:r>
      <w:r w:rsidR="000C273E">
        <w:rPr>
          <w:color w:val="000000"/>
          <w:sz w:val="20"/>
          <w:szCs w:val="20"/>
        </w:rPr>
        <w:t xml:space="preserve">taxi, </w:t>
      </w:r>
      <w:r w:rsidR="000C273E" w:rsidRPr="0007337A">
        <w:rPr>
          <w:color w:val="000000"/>
          <w:sz w:val="20"/>
          <w:szCs w:val="20"/>
        </w:rPr>
        <w:t>shuttle</w:t>
      </w:r>
      <w:r w:rsidR="0007337A">
        <w:rPr>
          <w:color w:val="000000"/>
          <w:sz w:val="20"/>
          <w:szCs w:val="20"/>
        </w:rPr>
        <w:t>, limousine, and</w:t>
      </w:r>
      <w:r w:rsidR="000C273E">
        <w:rPr>
          <w:color w:val="000000"/>
          <w:sz w:val="20"/>
          <w:szCs w:val="20"/>
        </w:rPr>
        <w:t xml:space="preserve"> rental car</w:t>
      </w:r>
      <w:r w:rsidR="0007337A">
        <w:rPr>
          <w:color w:val="000000"/>
          <w:sz w:val="20"/>
          <w:szCs w:val="20"/>
        </w:rPr>
        <w:t>.</w:t>
      </w:r>
      <w:r w:rsidR="001A232E" w:rsidRPr="00C81691">
        <w:rPr>
          <w:color w:val="000000"/>
          <w:sz w:val="20"/>
          <w:szCs w:val="20"/>
        </w:rPr>
        <w:t xml:space="preserve">  For those with a car, p</w:t>
      </w:r>
      <w:r w:rsidR="000C273E">
        <w:rPr>
          <w:color w:val="000000"/>
          <w:sz w:val="20"/>
          <w:szCs w:val="20"/>
        </w:rPr>
        <w:t>arking is available at the</w:t>
      </w:r>
      <w:r w:rsidR="0081683B">
        <w:rPr>
          <w:color w:val="000000"/>
          <w:sz w:val="20"/>
          <w:szCs w:val="20"/>
        </w:rPr>
        <w:t xml:space="preserve"> hotel ($</w:t>
      </w:r>
      <w:r w:rsidR="0007337A">
        <w:rPr>
          <w:color w:val="000000"/>
          <w:sz w:val="20"/>
          <w:szCs w:val="20"/>
        </w:rPr>
        <w:t xml:space="preserve">39 per </w:t>
      </w:r>
      <w:r w:rsidR="0081683B">
        <w:rPr>
          <w:color w:val="000000"/>
          <w:sz w:val="20"/>
          <w:szCs w:val="20"/>
        </w:rPr>
        <w:t>day)</w:t>
      </w:r>
      <w:r w:rsidR="005636D7">
        <w:rPr>
          <w:color w:val="000000"/>
          <w:sz w:val="20"/>
          <w:szCs w:val="20"/>
        </w:rPr>
        <w:t>.</w:t>
      </w:r>
    </w:p>
    <w:p w:rsidR="005636D7" w:rsidRPr="00C81691" w:rsidRDefault="005636D7" w:rsidP="00551B46">
      <w:pPr>
        <w:autoSpaceDE w:val="0"/>
        <w:autoSpaceDN w:val="0"/>
        <w:adjustRightInd w:val="0"/>
        <w:ind w:left="15"/>
        <w:rPr>
          <w:color w:val="000000"/>
          <w:sz w:val="20"/>
          <w:szCs w:val="20"/>
        </w:rPr>
      </w:pPr>
    </w:p>
    <w:p w:rsidR="00EA61D8" w:rsidRPr="005636D7" w:rsidRDefault="00EA61D8" w:rsidP="00551B46">
      <w:pPr>
        <w:autoSpaceDE w:val="0"/>
        <w:autoSpaceDN w:val="0"/>
        <w:adjustRightInd w:val="0"/>
        <w:ind w:left="15"/>
        <w:rPr>
          <w:b/>
          <w:color w:val="000000"/>
          <w:sz w:val="20"/>
          <w:szCs w:val="20"/>
        </w:rPr>
      </w:pPr>
      <w:r w:rsidRPr="005636D7">
        <w:rPr>
          <w:b/>
          <w:color w:val="000000"/>
          <w:sz w:val="20"/>
          <w:szCs w:val="20"/>
        </w:rPr>
        <w:t>Registration</w:t>
      </w:r>
    </w:p>
    <w:p w:rsidR="00EA61D8" w:rsidRDefault="0081683B">
      <w:pPr>
        <w:rPr>
          <w:sz w:val="20"/>
          <w:szCs w:val="20"/>
        </w:rPr>
      </w:pPr>
      <w:r w:rsidRPr="005E2141">
        <w:rPr>
          <w:sz w:val="20"/>
          <w:szCs w:val="20"/>
        </w:rPr>
        <w:t xml:space="preserve">The </w:t>
      </w:r>
      <w:r w:rsidR="00912CEA" w:rsidRPr="005E2141">
        <w:rPr>
          <w:sz w:val="20"/>
          <w:szCs w:val="20"/>
        </w:rPr>
        <w:t xml:space="preserve">registration fee for the conference is </w:t>
      </w:r>
      <w:r w:rsidR="00912CEA" w:rsidRPr="00B251B8">
        <w:rPr>
          <w:b/>
          <w:sz w:val="20"/>
          <w:szCs w:val="20"/>
        </w:rPr>
        <w:t>$</w:t>
      </w:r>
      <w:r w:rsidR="006B4EF0">
        <w:rPr>
          <w:b/>
          <w:sz w:val="20"/>
          <w:szCs w:val="20"/>
        </w:rPr>
        <w:t>1,2</w:t>
      </w:r>
      <w:r w:rsidR="001C5C0A">
        <w:rPr>
          <w:b/>
          <w:sz w:val="20"/>
          <w:szCs w:val="20"/>
        </w:rPr>
        <w:t>2</w:t>
      </w:r>
      <w:r w:rsidR="0007337A">
        <w:rPr>
          <w:b/>
          <w:sz w:val="20"/>
          <w:szCs w:val="20"/>
        </w:rPr>
        <w:t>5</w:t>
      </w:r>
      <w:r w:rsidR="00B251B8">
        <w:rPr>
          <w:sz w:val="20"/>
          <w:szCs w:val="20"/>
        </w:rPr>
        <w:t>, which</w:t>
      </w:r>
      <w:r w:rsidR="00912CEA">
        <w:rPr>
          <w:sz w:val="20"/>
          <w:szCs w:val="20"/>
        </w:rPr>
        <w:t xml:space="preserve"> includes three</w:t>
      </w:r>
      <w:r w:rsidR="00912CEA" w:rsidRPr="00C81691">
        <w:rPr>
          <w:sz w:val="20"/>
          <w:szCs w:val="20"/>
        </w:rPr>
        <w:t xml:space="preserve"> nights of </w:t>
      </w:r>
      <w:r w:rsidR="00C172EE">
        <w:rPr>
          <w:sz w:val="20"/>
          <w:szCs w:val="20"/>
        </w:rPr>
        <w:t xml:space="preserve">hotel accommodations, all meals, </w:t>
      </w:r>
      <w:r w:rsidR="00912CEA" w:rsidRPr="00C81691">
        <w:rPr>
          <w:sz w:val="20"/>
          <w:szCs w:val="20"/>
        </w:rPr>
        <w:t>snacks</w:t>
      </w:r>
      <w:r w:rsidR="00C172EE">
        <w:rPr>
          <w:sz w:val="20"/>
          <w:szCs w:val="20"/>
        </w:rPr>
        <w:t xml:space="preserve"> and beverages,</w:t>
      </w:r>
      <w:r w:rsidR="00912CEA" w:rsidRPr="00C81691">
        <w:rPr>
          <w:sz w:val="20"/>
          <w:szCs w:val="20"/>
        </w:rPr>
        <w:t xml:space="preserve"> meetings, program materials, and special events. </w:t>
      </w:r>
      <w:r w:rsidR="00912CEA" w:rsidRPr="005E2141">
        <w:rPr>
          <w:sz w:val="20"/>
          <w:szCs w:val="20"/>
        </w:rPr>
        <w:t xml:space="preserve"> </w:t>
      </w:r>
      <w:r>
        <w:rPr>
          <w:sz w:val="20"/>
          <w:szCs w:val="20"/>
        </w:rPr>
        <w:t>Please return a completed registration form (</w:t>
      </w:r>
      <w:r w:rsidR="00190105">
        <w:rPr>
          <w:sz w:val="20"/>
          <w:szCs w:val="20"/>
        </w:rPr>
        <w:t>attached</w:t>
      </w:r>
      <w:r>
        <w:rPr>
          <w:sz w:val="20"/>
          <w:szCs w:val="20"/>
        </w:rPr>
        <w:t xml:space="preserve">) along with payment to the address below.  </w:t>
      </w:r>
      <w:r w:rsidR="00EA61D8" w:rsidRPr="00C81691">
        <w:rPr>
          <w:b/>
          <w:sz w:val="20"/>
          <w:szCs w:val="20"/>
        </w:rPr>
        <w:t xml:space="preserve">We encourage you to register by </w:t>
      </w:r>
      <w:r w:rsidR="000C273E">
        <w:rPr>
          <w:b/>
          <w:sz w:val="20"/>
          <w:szCs w:val="20"/>
        </w:rPr>
        <w:t>June 30</w:t>
      </w:r>
      <w:r w:rsidR="00EA61D8" w:rsidRPr="00C81691">
        <w:rPr>
          <w:b/>
          <w:sz w:val="20"/>
          <w:szCs w:val="20"/>
        </w:rPr>
        <w:t>, 201</w:t>
      </w:r>
      <w:r w:rsidR="008B1E39">
        <w:rPr>
          <w:b/>
          <w:sz w:val="20"/>
          <w:szCs w:val="20"/>
        </w:rPr>
        <w:t>5</w:t>
      </w:r>
      <w:r w:rsidR="00EA61D8" w:rsidRPr="005E2141">
        <w:rPr>
          <w:sz w:val="20"/>
          <w:szCs w:val="20"/>
        </w:rPr>
        <w:t xml:space="preserve">.  </w:t>
      </w:r>
      <w:r w:rsidR="00912CEA">
        <w:rPr>
          <w:sz w:val="20"/>
          <w:szCs w:val="20"/>
        </w:rPr>
        <w:t>The fee for r</w:t>
      </w:r>
      <w:r w:rsidR="00EA61D8" w:rsidRPr="005E2141">
        <w:rPr>
          <w:sz w:val="20"/>
          <w:szCs w:val="20"/>
        </w:rPr>
        <w:t xml:space="preserve">egistrations received </w:t>
      </w:r>
      <w:r w:rsidR="00EA61D8" w:rsidRPr="009610C0">
        <w:rPr>
          <w:b/>
          <w:sz w:val="20"/>
          <w:szCs w:val="20"/>
        </w:rPr>
        <w:t xml:space="preserve">after </w:t>
      </w:r>
      <w:r w:rsidR="00684477" w:rsidRPr="009610C0">
        <w:rPr>
          <w:b/>
          <w:sz w:val="20"/>
          <w:szCs w:val="20"/>
        </w:rPr>
        <w:t>Ju</w:t>
      </w:r>
      <w:r w:rsidR="000C273E" w:rsidRPr="009610C0">
        <w:rPr>
          <w:b/>
          <w:sz w:val="20"/>
          <w:szCs w:val="20"/>
        </w:rPr>
        <w:t>ne 30</w:t>
      </w:r>
      <w:r w:rsidR="000C273E" w:rsidRPr="009610C0">
        <w:rPr>
          <w:b/>
          <w:sz w:val="20"/>
          <w:szCs w:val="20"/>
          <w:vertAlign w:val="superscript"/>
        </w:rPr>
        <w:t>th</w:t>
      </w:r>
      <w:r w:rsidR="00912CEA" w:rsidRPr="009610C0">
        <w:rPr>
          <w:b/>
          <w:sz w:val="20"/>
          <w:szCs w:val="20"/>
        </w:rPr>
        <w:t xml:space="preserve"> </w:t>
      </w:r>
      <w:r w:rsidR="009610C0" w:rsidRPr="009610C0">
        <w:rPr>
          <w:b/>
          <w:sz w:val="20"/>
          <w:szCs w:val="20"/>
        </w:rPr>
        <w:t>will increase</w:t>
      </w:r>
      <w:r w:rsidR="00912CEA" w:rsidRPr="009610C0">
        <w:rPr>
          <w:b/>
          <w:sz w:val="20"/>
          <w:szCs w:val="20"/>
        </w:rPr>
        <w:t xml:space="preserve"> to</w:t>
      </w:r>
      <w:r w:rsidR="00EA61D8" w:rsidRPr="005E2141">
        <w:rPr>
          <w:sz w:val="20"/>
          <w:szCs w:val="20"/>
        </w:rPr>
        <w:t xml:space="preserve"> </w:t>
      </w:r>
      <w:r w:rsidR="00EA61D8" w:rsidRPr="00B251B8">
        <w:rPr>
          <w:b/>
          <w:sz w:val="20"/>
          <w:szCs w:val="20"/>
        </w:rPr>
        <w:t>$1,</w:t>
      </w:r>
      <w:r w:rsidR="008B1E39">
        <w:rPr>
          <w:b/>
          <w:sz w:val="20"/>
          <w:szCs w:val="20"/>
        </w:rPr>
        <w:t>3</w:t>
      </w:r>
      <w:r w:rsidR="001C5C0A">
        <w:rPr>
          <w:b/>
          <w:sz w:val="20"/>
          <w:szCs w:val="20"/>
        </w:rPr>
        <w:t>2</w:t>
      </w:r>
      <w:r w:rsidR="0007337A">
        <w:rPr>
          <w:b/>
          <w:sz w:val="20"/>
          <w:szCs w:val="20"/>
        </w:rPr>
        <w:t>5</w:t>
      </w:r>
      <w:bookmarkStart w:id="0" w:name="_GoBack"/>
      <w:bookmarkEnd w:id="0"/>
      <w:r w:rsidR="00EA61D8" w:rsidRPr="005E2141">
        <w:rPr>
          <w:sz w:val="20"/>
          <w:szCs w:val="20"/>
        </w:rPr>
        <w:t>.</w:t>
      </w:r>
      <w:r w:rsidR="00912CEA" w:rsidRPr="00912CEA">
        <w:rPr>
          <w:sz w:val="20"/>
          <w:szCs w:val="20"/>
        </w:rPr>
        <w:t xml:space="preserve"> </w:t>
      </w:r>
      <w:r w:rsidR="00912CEA">
        <w:rPr>
          <w:sz w:val="20"/>
          <w:szCs w:val="20"/>
        </w:rPr>
        <w:t xml:space="preserve"> </w:t>
      </w:r>
      <w:r w:rsidR="00912CEA" w:rsidRPr="009154B4">
        <w:rPr>
          <w:sz w:val="20"/>
          <w:szCs w:val="20"/>
        </w:rPr>
        <w:t>The registration form and additional information can also be accessed on the NTCHBA website (</w:t>
      </w:r>
      <w:hyperlink r:id="rId7" w:history="1">
        <w:r w:rsidR="00912CEA" w:rsidRPr="009154B4">
          <w:rPr>
            <w:rStyle w:val="Hyperlink"/>
            <w:sz w:val="20"/>
            <w:szCs w:val="20"/>
          </w:rPr>
          <w:t>www.ntch.org</w:t>
        </w:r>
      </w:hyperlink>
      <w:r w:rsidRPr="009154B4">
        <w:rPr>
          <w:sz w:val="20"/>
          <w:szCs w:val="20"/>
        </w:rPr>
        <w:t>).</w:t>
      </w:r>
    </w:p>
    <w:p w:rsidR="005E2141" w:rsidRPr="00C81691" w:rsidRDefault="005E2141">
      <w:pPr>
        <w:rPr>
          <w:sz w:val="20"/>
          <w:szCs w:val="20"/>
        </w:rPr>
      </w:pPr>
    </w:p>
    <w:p w:rsidR="00EA61D8" w:rsidRPr="00C81691" w:rsidRDefault="00EA61D8">
      <w:pPr>
        <w:rPr>
          <w:sz w:val="20"/>
          <w:szCs w:val="20"/>
        </w:rPr>
      </w:pPr>
      <w:r w:rsidRPr="00C81691">
        <w:rPr>
          <w:sz w:val="20"/>
          <w:szCs w:val="20"/>
        </w:rPr>
        <w:t xml:space="preserve">If you would like to bring a spouse or guest, who </w:t>
      </w:r>
      <w:r w:rsidR="00E92A39" w:rsidRPr="00C81691">
        <w:rPr>
          <w:sz w:val="20"/>
          <w:szCs w:val="20"/>
        </w:rPr>
        <w:t xml:space="preserve">will be staying in the same room and </w:t>
      </w:r>
      <w:r w:rsidRPr="00C81691">
        <w:rPr>
          <w:sz w:val="20"/>
          <w:szCs w:val="20"/>
        </w:rPr>
        <w:t>not attending the confer</w:t>
      </w:r>
      <w:r w:rsidR="000C273E">
        <w:rPr>
          <w:sz w:val="20"/>
          <w:szCs w:val="20"/>
        </w:rPr>
        <w:t>ence, an additional charge of $3</w:t>
      </w:r>
      <w:r w:rsidRPr="00C81691">
        <w:rPr>
          <w:sz w:val="20"/>
          <w:szCs w:val="20"/>
        </w:rPr>
        <w:t>00 will be required to cover t</w:t>
      </w:r>
      <w:r w:rsidR="000C273E">
        <w:rPr>
          <w:sz w:val="20"/>
          <w:szCs w:val="20"/>
        </w:rPr>
        <w:t>he</w:t>
      </w:r>
      <w:r w:rsidRPr="00C81691">
        <w:rPr>
          <w:sz w:val="20"/>
          <w:szCs w:val="20"/>
        </w:rPr>
        <w:t xml:space="preserve"> </w:t>
      </w:r>
      <w:r w:rsidR="00E92A39" w:rsidRPr="00C81691">
        <w:rPr>
          <w:sz w:val="20"/>
          <w:szCs w:val="20"/>
        </w:rPr>
        <w:t>costs</w:t>
      </w:r>
      <w:r w:rsidRPr="00C81691">
        <w:rPr>
          <w:sz w:val="20"/>
          <w:szCs w:val="20"/>
        </w:rPr>
        <w:t xml:space="preserve"> </w:t>
      </w:r>
      <w:r w:rsidR="000C273E">
        <w:rPr>
          <w:sz w:val="20"/>
          <w:szCs w:val="20"/>
        </w:rPr>
        <w:t>of</w:t>
      </w:r>
      <w:r w:rsidRPr="00C81691">
        <w:rPr>
          <w:sz w:val="20"/>
          <w:szCs w:val="20"/>
        </w:rPr>
        <w:t xml:space="preserve"> meals</w:t>
      </w:r>
      <w:r w:rsidR="00E92A39" w:rsidRPr="00C81691">
        <w:rPr>
          <w:sz w:val="20"/>
          <w:szCs w:val="20"/>
        </w:rPr>
        <w:t xml:space="preserve"> and events.</w:t>
      </w:r>
    </w:p>
    <w:p w:rsidR="00EA61D8" w:rsidRPr="00C81691" w:rsidRDefault="00EA61D8">
      <w:pPr>
        <w:rPr>
          <w:sz w:val="20"/>
          <w:szCs w:val="20"/>
        </w:rPr>
      </w:pPr>
    </w:p>
    <w:p w:rsidR="00C72D5D" w:rsidRDefault="00EA61D8">
      <w:pPr>
        <w:rPr>
          <w:sz w:val="20"/>
          <w:szCs w:val="20"/>
        </w:rPr>
      </w:pPr>
      <w:r w:rsidRPr="00004E0A">
        <w:rPr>
          <w:i/>
          <w:sz w:val="20"/>
          <w:szCs w:val="20"/>
        </w:rPr>
        <w:t>If you have any questions or comments, please contact</w:t>
      </w:r>
      <w:r w:rsidR="00A21F09">
        <w:rPr>
          <w:i/>
          <w:sz w:val="20"/>
          <w:szCs w:val="20"/>
        </w:rPr>
        <w:t xml:space="preserve"> </w:t>
      </w:r>
      <w:r w:rsidR="0089728A">
        <w:rPr>
          <w:i/>
          <w:sz w:val="20"/>
          <w:szCs w:val="20"/>
        </w:rPr>
        <w:t xml:space="preserve">Jeff Buric </w:t>
      </w:r>
      <w:r w:rsidRPr="00004E0A">
        <w:rPr>
          <w:i/>
          <w:sz w:val="20"/>
          <w:szCs w:val="20"/>
        </w:rPr>
        <w:t xml:space="preserve">at </w:t>
      </w:r>
      <w:r w:rsidR="00C72D5D">
        <w:rPr>
          <w:i/>
          <w:sz w:val="20"/>
          <w:szCs w:val="20"/>
        </w:rPr>
        <w:t>614</w:t>
      </w:r>
      <w:r w:rsidRPr="00004E0A">
        <w:rPr>
          <w:i/>
          <w:sz w:val="20"/>
          <w:szCs w:val="20"/>
        </w:rPr>
        <w:t>-</w:t>
      </w:r>
      <w:r w:rsidR="00C72D5D">
        <w:rPr>
          <w:i/>
          <w:sz w:val="20"/>
          <w:szCs w:val="20"/>
        </w:rPr>
        <w:t>213</w:t>
      </w:r>
      <w:r w:rsidRPr="00004E0A">
        <w:rPr>
          <w:i/>
          <w:sz w:val="20"/>
          <w:szCs w:val="20"/>
        </w:rPr>
        <w:t>-</w:t>
      </w:r>
      <w:r w:rsidR="00C72D5D">
        <w:rPr>
          <w:i/>
          <w:sz w:val="20"/>
          <w:szCs w:val="20"/>
        </w:rPr>
        <w:t>3622</w:t>
      </w:r>
      <w:r w:rsidRPr="00004E0A">
        <w:rPr>
          <w:i/>
          <w:sz w:val="20"/>
          <w:szCs w:val="20"/>
        </w:rPr>
        <w:t xml:space="preserve"> </w:t>
      </w:r>
      <w:r w:rsidRPr="00C72D5D">
        <w:rPr>
          <w:i/>
          <w:sz w:val="20"/>
          <w:szCs w:val="20"/>
        </w:rPr>
        <w:t>(</w:t>
      </w:r>
      <w:hyperlink r:id="rId8" w:history="1">
        <w:r w:rsidR="00C72D5D" w:rsidRPr="00BD07EC">
          <w:rPr>
            <w:rStyle w:val="Hyperlink"/>
            <w:sz w:val="20"/>
            <w:szCs w:val="20"/>
          </w:rPr>
          <w:t>jeffrey.t.buric@jpmorgan.com</w:t>
        </w:r>
      </w:hyperlink>
      <w:r w:rsidR="00C72D5D" w:rsidRPr="00C72D5D">
        <w:rPr>
          <w:i/>
          <w:sz w:val="20"/>
          <w:szCs w:val="20"/>
        </w:rPr>
        <w:t>)</w:t>
      </w:r>
    </w:p>
    <w:p w:rsidR="0089728A" w:rsidRPr="00C72D5D" w:rsidRDefault="0089728A">
      <w:pPr>
        <w:rPr>
          <w:i/>
          <w:sz w:val="20"/>
          <w:szCs w:val="20"/>
        </w:rPr>
      </w:pPr>
      <w:proofErr w:type="gramStart"/>
      <w:r w:rsidRPr="00C72D5D">
        <w:rPr>
          <w:i/>
          <w:sz w:val="20"/>
          <w:szCs w:val="20"/>
        </w:rPr>
        <w:t>or</w:t>
      </w:r>
      <w:proofErr w:type="gramEnd"/>
      <w:r w:rsidRPr="00C72D5D">
        <w:rPr>
          <w:i/>
          <w:sz w:val="20"/>
          <w:szCs w:val="20"/>
        </w:rPr>
        <w:t xml:space="preserve"> Eric Czepyha at 614-217-2486 (</w:t>
      </w:r>
      <w:hyperlink r:id="rId9" w:history="1">
        <w:r w:rsidRPr="00C72D5D">
          <w:rPr>
            <w:rStyle w:val="Hyperlink"/>
            <w:i/>
            <w:sz w:val="20"/>
            <w:szCs w:val="20"/>
          </w:rPr>
          <w:t>eric.n.czepyha@jpmorgan.com</w:t>
        </w:r>
      </w:hyperlink>
      <w:r w:rsidRPr="00C72D5D">
        <w:rPr>
          <w:i/>
          <w:sz w:val="20"/>
          <w:szCs w:val="20"/>
        </w:rPr>
        <w:t>).</w:t>
      </w:r>
    </w:p>
    <w:p w:rsidR="003E2C88" w:rsidRPr="00C81691" w:rsidRDefault="003E2C88">
      <w:pPr>
        <w:rPr>
          <w:i/>
          <w:sz w:val="20"/>
          <w:szCs w:val="20"/>
        </w:rPr>
      </w:pPr>
    </w:p>
    <w:p w:rsidR="00B400FE" w:rsidRPr="00B400FE" w:rsidRDefault="00D7485D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746A2F">
        <w:rPr>
          <w:sz w:val="20"/>
          <w:szCs w:val="20"/>
        </w:rPr>
        <w:t xml:space="preserve">ee </w:t>
      </w:r>
      <w:r w:rsidR="00746A2F" w:rsidRPr="00B400FE">
        <w:rPr>
          <w:sz w:val="20"/>
          <w:szCs w:val="20"/>
        </w:rPr>
        <w:t xml:space="preserve">you in </w:t>
      </w:r>
      <w:r w:rsidR="009A6116">
        <w:rPr>
          <w:sz w:val="20"/>
          <w:szCs w:val="20"/>
        </w:rPr>
        <w:t>The Big Easy!</w:t>
      </w:r>
    </w:p>
    <w:p w:rsidR="00B400FE" w:rsidRPr="00C81691" w:rsidRDefault="00B400FE">
      <w:pPr>
        <w:rPr>
          <w:sz w:val="20"/>
          <w:szCs w:val="20"/>
        </w:rPr>
      </w:pPr>
    </w:p>
    <w:p w:rsidR="00EA61D8" w:rsidRPr="00C81691" w:rsidRDefault="00BC75ED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26" style="position:absolute;margin-left:205.2pt;margin-top:6.7pt;width:279.2pt;height:88.5pt;z-index:251658240" filled="f" strokecolor="#0070c0" strokeweight="1.5pt"/>
        </w:pict>
      </w:r>
    </w:p>
    <w:p w:rsidR="00EA61D8" w:rsidRPr="00C81691" w:rsidRDefault="00EA61D8">
      <w:pPr>
        <w:rPr>
          <w:sz w:val="20"/>
          <w:szCs w:val="20"/>
        </w:rPr>
      </w:pPr>
      <w:r w:rsidRPr="00C81691">
        <w:rPr>
          <w:sz w:val="20"/>
          <w:szCs w:val="20"/>
        </w:rPr>
        <w:t>Sincerely,</w:t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C706D8" w:rsidRPr="00C706D8">
        <w:rPr>
          <w:b/>
          <w:sz w:val="20"/>
          <w:szCs w:val="20"/>
          <w:u w:val="single"/>
        </w:rPr>
        <w:t xml:space="preserve">PLEASE </w:t>
      </w:r>
      <w:r w:rsidR="00C41513">
        <w:rPr>
          <w:b/>
          <w:sz w:val="20"/>
          <w:szCs w:val="20"/>
          <w:u w:val="single"/>
        </w:rPr>
        <w:t xml:space="preserve">MAIL OR EMAIL </w:t>
      </w:r>
      <w:r w:rsidR="005475F3" w:rsidRPr="005475F3">
        <w:rPr>
          <w:b/>
          <w:sz w:val="20"/>
          <w:szCs w:val="20"/>
          <w:u w:val="single"/>
        </w:rPr>
        <w:t>REGISTRATION FORMS TO</w:t>
      </w:r>
      <w:r w:rsidR="005475F3" w:rsidRPr="005475F3">
        <w:rPr>
          <w:b/>
          <w:sz w:val="20"/>
          <w:szCs w:val="20"/>
        </w:rPr>
        <w:t>:</w:t>
      </w:r>
    </w:p>
    <w:p w:rsidR="00EA61D8" w:rsidRPr="00C81691" w:rsidRDefault="005475F3" w:rsidP="005475F3">
      <w:pPr>
        <w:spacing w:before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029C4">
        <w:rPr>
          <w:sz w:val="22"/>
          <w:szCs w:val="22"/>
        </w:rPr>
        <w:t>Angela Caldwell</w:t>
      </w:r>
    </w:p>
    <w:p w:rsidR="00746A2F" w:rsidRDefault="0089728A">
      <w:pPr>
        <w:rPr>
          <w:sz w:val="20"/>
          <w:szCs w:val="20"/>
        </w:rPr>
      </w:pPr>
      <w:r>
        <w:rPr>
          <w:sz w:val="20"/>
          <w:szCs w:val="20"/>
        </w:rPr>
        <w:t>Eric Czepyha</w:t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  <w:t>JPMorgan</w:t>
      </w:r>
      <w:r w:rsidR="00187D8C">
        <w:rPr>
          <w:sz w:val="20"/>
          <w:szCs w:val="20"/>
        </w:rPr>
        <w:t xml:space="preserve"> Chase</w:t>
      </w:r>
    </w:p>
    <w:p w:rsidR="00A05BAA" w:rsidRDefault="0089728A">
      <w:pPr>
        <w:rPr>
          <w:sz w:val="20"/>
          <w:szCs w:val="20"/>
        </w:rPr>
      </w:pPr>
      <w:r>
        <w:rPr>
          <w:sz w:val="20"/>
          <w:szCs w:val="20"/>
        </w:rPr>
        <w:t>Executive Director</w:t>
      </w:r>
      <w:r w:rsidR="00367450">
        <w:rPr>
          <w:sz w:val="20"/>
          <w:szCs w:val="20"/>
        </w:rPr>
        <w:tab/>
      </w:r>
      <w:r w:rsidR="00367450">
        <w:rPr>
          <w:sz w:val="20"/>
          <w:szCs w:val="20"/>
        </w:rPr>
        <w:tab/>
      </w:r>
      <w:r w:rsidR="00367450">
        <w:rPr>
          <w:sz w:val="20"/>
          <w:szCs w:val="20"/>
        </w:rPr>
        <w:tab/>
      </w:r>
      <w:r w:rsidR="00367450">
        <w:rPr>
          <w:sz w:val="20"/>
          <w:szCs w:val="20"/>
        </w:rPr>
        <w:tab/>
        <w:t xml:space="preserve">1111 Polaris Parkway, </w:t>
      </w:r>
      <w:proofErr w:type="spellStart"/>
      <w:r w:rsidR="001029C4">
        <w:rPr>
          <w:sz w:val="22"/>
          <w:szCs w:val="22"/>
        </w:rPr>
        <w:t>Mailcode</w:t>
      </w:r>
      <w:proofErr w:type="spellEnd"/>
      <w:r w:rsidR="001029C4">
        <w:rPr>
          <w:sz w:val="22"/>
          <w:szCs w:val="22"/>
        </w:rPr>
        <w:t>: OH1-1275</w:t>
      </w:r>
    </w:p>
    <w:p w:rsidR="005636D7" w:rsidRDefault="0089728A">
      <w:pPr>
        <w:rPr>
          <w:sz w:val="20"/>
          <w:szCs w:val="20"/>
        </w:rPr>
      </w:pPr>
      <w:r>
        <w:rPr>
          <w:sz w:val="20"/>
          <w:szCs w:val="20"/>
        </w:rPr>
        <w:t>JPMorgan</w:t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</w:r>
      <w:r w:rsidR="005475F3">
        <w:rPr>
          <w:sz w:val="20"/>
          <w:szCs w:val="20"/>
        </w:rPr>
        <w:tab/>
        <w:t>Columbus, Ohio 43240</w:t>
      </w:r>
    </w:p>
    <w:p w:rsidR="001029C4" w:rsidRDefault="00BC75ED" w:rsidP="00C41513">
      <w:pPr>
        <w:ind w:left="3600" w:firstLine="720"/>
        <w:rPr>
          <w:sz w:val="22"/>
          <w:szCs w:val="22"/>
        </w:rPr>
      </w:pPr>
      <w:hyperlink r:id="rId10" w:history="1">
        <w:r w:rsidR="00C41513" w:rsidRPr="003F72C7">
          <w:rPr>
            <w:rStyle w:val="Hyperlink"/>
            <w:sz w:val="22"/>
            <w:szCs w:val="22"/>
          </w:rPr>
          <w:t>angela.m.caldwell@jpmorgan.com</w:t>
        </w:r>
      </w:hyperlink>
    </w:p>
    <w:p w:rsidR="001029C4" w:rsidRDefault="001029C4">
      <w:pPr>
        <w:rPr>
          <w:sz w:val="20"/>
          <w:szCs w:val="20"/>
        </w:rPr>
      </w:pPr>
    </w:p>
    <w:p w:rsidR="001029C4" w:rsidRDefault="001029C4">
      <w:pPr>
        <w:rPr>
          <w:sz w:val="20"/>
          <w:szCs w:val="20"/>
        </w:rPr>
      </w:pPr>
    </w:p>
    <w:sectPr w:rsidR="001029C4" w:rsidSect="005475F3">
      <w:pgSz w:w="12240" w:h="15840"/>
      <w:pgMar w:top="81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776"/>
    <w:multiLevelType w:val="hybridMultilevel"/>
    <w:tmpl w:val="C47E9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A661C"/>
    <w:multiLevelType w:val="hybridMultilevel"/>
    <w:tmpl w:val="13E208E2"/>
    <w:lvl w:ilvl="0" w:tplc="0A5A5F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3608D4"/>
    <w:rsid w:val="00004E0A"/>
    <w:rsid w:val="00022A48"/>
    <w:rsid w:val="00026D5D"/>
    <w:rsid w:val="00041595"/>
    <w:rsid w:val="0007337A"/>
    <w:rsid w:val="00077486"/>
    <w:rsid w:val="000A7D59"/>
    <w:rsid w:val="000B01AD"/>
    <w:rsid w:val="000C273E"/>
    <w:rsid w:val="001029C4"/>
    <w:rsid w:val="00133AF9"/>
    <w:rsid w:val="00187D8C"/>
    <w:rsid w:val="00190105"/>
    <w:rsid w:val="001A232E"/>
    <w:rsid w:val="001C5C0A"/>
    <w:rsid w:val="002D75AC"/>
    <w:rsid w:val="00305A7B"/>
    <w:rsid w:val="00311113"/>
    <w:rsid w:val="003608D4"/>
    <w:rsid w:val="00367450"/>
    <w:rsid w:val="00377DCB"/>
    <w:rsid w:val="003E2C88"/>
    <w:rsid w:val="004467F0"/>
    <w:rsid w:val="004560BD"/>
    <w:rsid w:val="0049007D"/>
    <w:rsid w:val="00497E00"/>
    <w:rsid w:val="004D34EA"/>
    <w:rsid w:val="004E0A17"/>
    <w:rsid w:val="005157E7"/>
    <w:rsid w:val="005258B7"/>
    <w:rsid w:val="00527DB5"/>
    <w:rsid w:val="005475F3"/>
    <w:rsid w:val="00551B46"/>
    <w:rsid w:val="00554CC5"/>
    <w:rsid w:val="005636D7"/>
    <w:rsid w:val="0056457A"/>
    <w:rsid w:val="005B5BD4"/>
    <w:rsid w:val="005C4286"/>
    <w:rsid w:val="005D0801"/>
    <w:rsid w:val="005E2141"/>
    <w:rsid w:val="005F29B9"/>
    <w:rsid w:val="00606CC3"/>
    <w:rsid w:val="00621B85"/>
    <w:rsid w:val="0063520B"/>
    <w:rsid w:val="006472D2"/>
    <w:rsid w:val="0064776A"/>
    <w:rsid w:val="006528E7"/>
    <w:rsid w:val="00684477"/>
    <w:rsid w:val="006B4EF0"/>
    <w:rsid w:val="00711804"/>
    <w:rsid w:val="0071232D"/>
    <w:rsid w:val="007434F6"/>
    <w:rsid w:val="00746A2F"/>
    <w:rsid w:val="00793CA3"/>
    <w:rsid w:val="007B3C96"/>
    <w:rsid w:val="007C7B66"/>
    <w:rsid w:val="007D2FA5"/>
    <w:rsid w:val="007F2322"/>
    <w:rsid w:val="008052D4"/>
    <w:rsid w:val="0081683B"/>
    <w:rsid w:val="008601E4"/>
    <w:rsid w:val="00876B72"/>
    <w:rsid w:val="00884820"/>
    <w:rsid w:val="0089728A"/>
    <w:rsid w:val="008A379D"/>
    <w:rsid w:val="008B1E39"/>
    <w:rsid w:val="008C6A28"/>
    <w:rsid w:val="00912CEA"/>
    <w:rsid w:val="009154B4"/>
    <w:rsid w:val="00927BE0"/>
    <w:rsid w:val="00933F3C"/>
    <w:rsid w:val="009610C0"/>
    <w:rsid w:val="00963B74"/>
    <w:rsid w:val="009677FF"/>
    <w:rsid w:val="00976982"/>
    <w:rsid w:val="009A1170"/>
    <w:rsid w:val="009A6116"/>
    <w:rsid w:val="009C1A75"/>
    <w:rsid w:val="009C525F"/>
    <w:rsid w:val="009D7F4F"/>
    <w:rsid w:val="009E190C"/>
    <w:rsid w:val="009E31CC"/>
    <w:rsid w:val="009F3204"/>
    <w:rsid w:val="00A05BAA"/>
    <w:rsid w:val="00A21F09"/>
    <w:rsid w:val="00A942C0"/>
    <w:rsid w:val="00B2431C"/>
    <w:rsid w:val="00B251B8"/>
    <w:rsid w:val="00B400FE"/>
    <w:rsid w:val="00BC75ED"/>
    <w:rsid w:val="00BE56E0"/>
    <w:rsid w:val="00C1717E"/>
    <w:rsid w:val="00C172EE"/>
    <w:rsid w:val="00C41513"/>
    <w:rsid w:val="00C706D8"/>
    <w:rsid w:val="00C70FE3"/>
    <w:rsid w:val="00C72D5D"/>
    <w:rsid w:val="00C81691"/>
    <w:rsid w:val="00C82403"/>
    <w:rsid w:val="00CD275D"/>
    <w:rsid w:val="00CE6AEE"/>
    <w:rsid w:val="00D33DA4"/>
    <w:rsid w:val="00D35B64"/>
    <w:rsid w:val="00D7485D"/>
    <w:rsid w:val="00DA54AC"/>
    <w:rsid w:val="00DA7A9E"/>
    <w:rsid w:val="00DB66B9"/>
    <w:rsid w:val="00E239F7"/>
    <w:rsid w:val="00E529E1"/>
    <w:rsid w:val="00E92A39"/>
    <w:rsid w:val="00E96743"/>
    <w:rsid w:val="00EA61D8"/>
    <w:rsid w:val="00ED485C"/>
    <w:rsid w:val="00F04860"/>
    <w:rsid w:val="00F15973"/>
    <w:rsid w:val="00F26D35"/>
    <w:rsid w:val="00F5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none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4860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793CA3"/>
    <w:pPr>
      <w:ind w:left="720"/>
      <w:contextualSpacing/>
    </w:pPr>
  </w:style>
  <w:style w:type="character" w:styleId="FollowedHyperlink">
    <w:name w:val="FollowedHyperlink"/>
    <w:basedOn w:val="DefaultParagraphFont"/>
    <w:rsid w:val="009C525F"/>
    <w:rPr>
      <w:color w:val="800080" w:themeColor="followedHyperlink"/>
      <w:u w:val="single"/>
    </w:rPr>
  </w:style>
  <w:style w:type="table" w:styleId="TableGrid">
    <w:name w:val="Table Grid"/>
    <w:basedOn w:val="TableNormal"/>
    <w:locked/>
    <w:rsid w:val="0064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rey.t.buric@jpmorgan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ntch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mnihotels.com/hotels/new-orleans-royal-orlean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gela.m.caldwell@jpmorga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c.n.czepyha@jpmorg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E2FEB-045C-4435-AB83-7630B8A21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498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37th ANNUAL CONFERENCE</vt:lpstr>
    </vt:vector>
  </TitlesOfParts>
  <Company>The Northern Trust Company</Company>
  <LinksUpToDate>false</LinksUpToDate>
  <CharactersWithSpaces>3653</CharactersWithSpaces>
  <SharedDoc>false</SharedDoc>
  <HLinks>
    <vt:vector size="36" baseType="variant">
      <vt:variant>
        <vt:i4>65634</vt:i4>
      </vt:variant>
      <vt:variant>
        <vt:i4>15</vt:i4>
      </vt:variant>
      <vt:variant>
        <vt:i4>0</vt:i4>
      </vt:variant>
      <vt:variant>
        <vt:i4>5</vt:i4>
      </vt:variant>
      <vt:variant>
        <vt:lpwstr>mailto:bruce.hendryx@pnc.com</vt:lpwstr>
      </vt:variant>
      <vt:variant>
        <vt:lpwstr/>
      </vt:variant>
      <vt:variant>
        <vt:i4>5767220</vt:i4>
      </vt:variant>
      <vt:variant>
        <vt:i4>12</vt:i4>
      </vt:variant>
      <vt:variant>
        <vt:i4>0</vt:i4>
      </vt:variant>
      <vt:variant>
        <vt:i4>5</vt:i4>
      </vt:variant>
      <vt:variant>
        <vt:lpwstr>mailto:kimberly.snavely@pnc.com</vt:lpwstr>
      </vt:variant>
      <vt:variant>
        <vt:lpwstr/>
      </vt:variant>
      <vt:variant>
        <vt:i4>5242967</vt:i4>
      </vt:variant>
      <vt:variant>
        <vt:i4>9</vt:i4>
      </vt:variant>
      <vt:variant>
        <vt:i4>0</vt:i4>
      </vt:variant>
      <vt:variant>
        <vt:i4>5</vt:i4>
      </vt:variant>
      <vt:variant>
        <vt:lpwstr>http://www.rockhall.com/</vt:lpwstr>
      </vt:variant>
      <vt:variant>
        <vt:lpwstr/>
      </vt:variant>
      <vt:variant>
        <vt:i4>4325392</vt:i4>
      </vt:variant>
      <vt:variant>
        <vt:i4>6</vt:i4>
      </vt:variant>
      <vt:variant>
        <vt:i4>0</vt:i4>
      </vt:variant>
      <vt:variant>
        <vt:i4>5</vt:i4>
      </vt:variant>
      <vt:variant>
        <vt:lpwstr>http://www.houseofblues.com/venues/clubvenues/cleveland/</vt:lpwstr>
      </vt:variant>
      <vt:variant>
        <vt:lpwstr/>
      </vt:variant>
      <vt:variant>
        <vt:i4>5570628</vt:i4>
      </vt:variant>
      <vt:variant>
        <vt:i4>3</vt:i4>
      </vt:variant>
      <vt:variant>
        <vt:i4>0</vt:i4>
      </vt:variant>
      <vt:variant>
        <vt:i4>5</vt:i4>
      </vt:variant>
      <vt:variant>
        <vt:lpwstr>http://www.ntch.org/</vt:lpwstr>
      </vt:variant>
      <vt:variant>
        <vt:lpwstr/>
      </vt:variant>
      <vt:variant>
        <vt:i4>5439509</vt:i4>
      </vt:variant>
      <vt:variant>
        <vt:i4>0</vt:i4>
      </vt:variant>
      <vt:variant>
        <vt:i4>0</vt:i4>
      </vt:variant>
      <vt:variant>
        <vt:i4>5</vt:i4>
      </vt:variant>
      <vt:variant>
        <vt:lpwstr>http://www.quailhollowresort.com/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37th ANNUAL CONFERENCE</dc:title>
  <dc:creator>hw12</dc:creator>
  <cp:lastModifiedBy>JPMorgan Chase &amp; Co.</cp:lastModifiedBy>
  <cp:revision>48</cp:revision>
  <cp:lastPrinted>2013-05-01T20:31:00Z</cp:lastPrinted>
  <dcterms:created xsi:type="dcterms:W3CDTF">2014-04-30T20:02:00Z</dcterms:created>
  <dcterms:modified xsi:type="dcterms:W3CDTF">2015-03-31T18:00:00Z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